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1D82" w14:textId="29BAB825" w:rsidR="005F32D2" w:rsidRPr="008D5365" w:rsidRDefault="005F32D2" w:rsidP="002626CE">
      <w:pPr>
        <w:tabs>
          <w:tab w:val="right" w:pos="9360"/>
        </w:tabs>
        <w:spacing w:line="360" w:lineRule="auto"/>
        <w:rPr>
          <w:rFonts w:ascii="Arial" w:hAnsi="Arial" w:cs="Arial"/>
          <w:i/>
          <w:sz w:val="24"/>
          <w:szCs w:val="24"/>
          <w:lang w:val="en-CA"/>
        </w:rPr>
      </w:pPr>
      <w:r w:rsidRPr="00AE5FCB">
        <w:rPr>
          <w:rFonts w:ascii="Arial" w:hAnsi="Arial" w:cs="Arial"/>
          <w:bCs/>
          <w:i/>
          <w:sz w:val="24"/>
          <w:szCs w:val="24"/>
          <w:lang w:val="en-CA"/>
        </w:rPr>
        <w:t xml:space="preserve">The following is distributed </w:t>
      </w:r>
      <w:r>
        <w:rPr>
          <w:rFonts w:ascii="Arial" w:hAnsi="Arial" w:cs="Arial"/>
          <w:bCs/>
          <w:i/>
          <w:sz w:val="24"/>
          <w:szCs w:val="24"/>
          <w:lang w:val="en-CA"/>
        </w:rPr>
        <w:t>by the Government of Prince Edward Island.</w:t>
      </w:r>
      <w:r w:rsidRPr="008D5365">
        <w:rPr>
          <w:sz w:val="24"/>
          <w:szCs w:val="24"/>
          <w:lang w:val="en-CA"/>
        </w:rPr>
        <w:fldChar w:fldCharType="begin"/>
      </w:r>
      <w:r w:rsidRPr="008D5365">
        <w:rPr>
          <w:sz w:val="24"/>
          <w:szCs w:val="24"/>
          <w:lang w:val="en-CA"/>
        </w:rPr>
        <w:instrText xml:space="preserve"> SEQ CHAPTER \h \r 1</w:instrText>
      </w:r>
      <w:r w:rsidRPr="008D5365">
        <w:rPr>
          <w:sz w:val="24"/>
          <w:szCs w:val="24"/>
          <w:lang w:val="en-CA"/>
        </w:rPr>
        <w:fldChar w:fldCharType="end"/>
      </w:r>
    </w:p>
    <w:p w14:paraId="24ADDB5F" w14:textId="717481CA" w:rsidR="005F32D2" w:rsidRDefault="005F32D2" w:rsidP="005F32D2">
      <w:pPr>
        <w:tabs>
          <w:tab w:val="right" w:pos="9360"/>
        </w:tabs>
        <w:rPr>
          <w:rFonts w:ascii="Arial" w:hAnsi="Arial" w:cs="Arial"/>
          <w:b/>
          <w:bCs/>
          <w:sz w:val="24"/>
          <w:szCs w:val="24"/>
          <w:lang w:val="en-CA"/>
        </w:rPr>
      </w:pPr>
      <w:r w:rsidRPr="008D5365">
        <w:rPr>
          <w:rFonts w:ascii="Arial" w:hAnsi="Arial" w:cs="Arial"/>
          <w:b/>
          <w:bCs/>
          <w:sz w:val="24"/>
          <w:szCs w:val="24"/>
          <w:u w:val="single"/>
          <w:lang w:val="en-CA"/>
        </w:rPr>
        <w:t>FOR IMMEDIATE RELEASE</w:t>
      </w:r>
      <w:r w:rsidRPr="008D5365">
        <w:rPr>
          <w:rFonts w:ascii="Arial" w:hAnsi="Arial" w:cs="Arial"/>
          <w:b/>
          <w:bCs/>
          <w:sz w:val="24"/>
          <w:szCs w:val="24"/>
          <w:lang w:val="en-CA"/>
        </w:rPr>
        <w:t xml:space="preserve">  </w:t>
      </w:r>
    </w:p>
    <w:p w14:paraId="1DA427E8" w14:textId="26FF1C23" w:rsidR="002626CE" w:rsidRPr="002626CE" w:rsidRDefault="002626CE" w:rsidP="005F32D2">
      <w:pPr>
        <w:tabs>
          <w:tab w:val="right" w:pos="9360"/>
        </w:tabs>
        <w:rPr>
          <w:rFonts w:ascii="Arial" w:hAnsi="Arial" w:cs="Arial"/>
          <w:i/>
          <w:iCs/>
          <w:sz w:val="24"/>
          <w:szCs w:val="24"/>
          <w:lang w:val="en-CA"/>
        </w:rPr>
      </w:pPr>
      <w:r w:rsidRPr="002626CE">
        <w:rPr>
          <w:rFonts w:ascii="Arial" w:hAnsi="Arial" w:cs="Arial"/>
          <w:i/>
          <w:iCs/>
          <w:sz w:val="24"/>
          <w:szCs w:val="24"/>
          <w:lang w:val="en-CA"/>
        </w:rPr>
        <w:t>*Backgrounder included*</w:t>
      </w:r>
    </w:p>
    <w:p w14:paraId="01129129" w14:textId="2022C88D" w:rsidR="005F32D2" w:rsidRPr="005F32D2" w:rsidRDefault="005F32D2" w:rsidP="005F32D2">
      <w:pPr>
        <w:tabs>
          <w:tab w:val="right" w:pos="9360"/>
        </w:tabs>
        <w:rPr>
          <w:rFonts w:ascii="Arial" w:hAnsi="Arial" w:cs="Arial"/>
          <w:bCs/>
          <w:sz w:val="24"/>
          <w:szCs w:val="24"/>
          <w:lang w:val="en-CA"/>
        </w:rPr>
      </w:pPr>
      <w:r>
        <w:rPr>
          <w:rFonts w:ascii="Arial" w:hAnsi="Arial" w:cs="Arial"/>
          <w:bCs/>
          <w:sz w:val="24"/>
          <w:szCs w:val="24"/>
          <w:lang w:val="en-CA"/>
        </w:rPr>
        <w:t>June 23, 2021</w:t>
      </w:r>
      <w:r w:rsidRPr="005F32D2">
        <w:rPr>
          <w:rFonts w:ascii="Arial" w:hAnsi="Arial" w:cs="Arial"/>
          <w:b/>
          <w:bCs/>
          <w:sz w:val="24"/>
          <w:szCs w:val="24"/>
          <w:lang w:val="en-CA"/>
        </w:rPr>
        <w:tab/>
      </w:r>
    </w:p>
    <w:p w14:paraId="7CD09697" w14:textId="23E72C81" w:rsidR="005F32D2" w:rsidRPr="005F32D2" w:rsidRDefault="005F32D2" w:rsidP="002626CE">
      <w:pPr>
        <w:pStyle w:val="NormalWeb"/>
        <w:shd w:val="clear" w:color="auto" w:fill="FFFFFF"/>
        <w:spacing w:before="0" w:beforeAutospacing="0" w:after="150" w:afterAutospacing="0"/>
        <w:jc w:val="center"/>
        <w:rPr>
          <w:rFonts w:ascii="Arial" w:hAnsi="Arial" w:cs="Arial"/>
          <w:b/>
          <w:bCs/>
        </w:rPr>
      </w:pPr>
      <w:bookmarkStart w:id="0" w:name="2"/>
      <w:bookmarkEnd w:id="0"/>
      <w:r w:rsidRPr="005F32D2">
        <w:rPr>
          <w:rFonts w:ascii="Arial" w:hAnsi="Arial" w:cs="Arial"/>
          <w:b/>
          <w:bCs/>
        </w:rPr>
        <w:t xml:space="preserve">Community Housing Fund </w:t>
      </w:r>
      <w:r w:rsidR="00D03DED">
        <w:rPr>
          <w:rFonts w:ascii="Arial" w:hAnsi="Arial" w:cs="Arial"/>
          <w:b/>
          <w:bCs/>
        </w:rPr>
        <w:t>a</w:t>
      </w:r>
      <w:r w:rsidRPr="005F32D2">
        <w:rPr>
          <w:rFonts w:ascii="Arial" w:hAnsi="Arial" w:cs="Arial"/>
          <w:b/>
          <w:bCs/>
        </w:rPr>
        <w:t>pplications now open</w:t>
      </w:r>
    </w:p>
    <w:p w14:paraId="5118C2F4" w14:textId="46AE0D9E" w:rsidR="00997C7F" w:rsidRPr="00B401D1" w:rsidRDefault="005F32D2" w:rsidP="00B401D1">
      <w:pPr>
        <w:spacing w:line="276" w:lineRule="auto"/>
        <w:rPr>
          <w:rFonts w:ascii="Arial" w:hAnsi="Arial" w:cs="Arial"/>
          <w:sz w:val="24"/>
          <w:szCs w:val="24"/>
        </w:rPr>
      </w:pPr>
      <w:bookmarkStart w:id="1" w:name="3"/>
      <w:bookmarkEnd w:id="1"/>
      <w:r w:rsidRPr="00997C7F">
        <w:rPr>
          <w:rFonts w:ascii="Arial" w:hAnsi="Arial" w:cs="Arial"/>
          <w:b/>
          <w:bCs/>
          <w:sz w:val="24"/>
          <w:szCs w:val="24"/>
        </w:rPr>
        <w:t xml:space="preserve">Charlottetown, PEI </w:t>
      </w:r>
      <w:bookmarkStart w:id="2" w:name="4"/>
      <w:bookmarkEnd w:id="2"/>
      <w:r w:rsidRPr="00997C7F">
        <w:rPr>
          <w:rFonts w:ascii="Arial" w:hAnsi="Arial" w:cs="Arial"/>
          <w:b/>
          <w:bCs/>
          <w:sz w:val="24"/>
          <w:szCs w:val="24"/>
        </w:rPr>
        <w:t>–</w:t>
      </w:r>
      <w:r w:rsidR="008824E9">
        <w:rPr>
          <w:rFonts w:ascii="Arial" w:hAnsi="Arial" w:cs="Arial"/>
          <w:b/>
          <w:bCs/>
          <w:sz w:val="24"/>
          <w:szCs w:val="24"/>
        </w:rPr>
        <w:t xml:space="preserve"> </w:t>
      </w:r>
      <w:r w:rsidR="00997C7F" w:rsidRPr="00B401D1">
        <w:rPr>
          <w:rFonts w:ascii="Arial" w:hAnsi="Arial" w:cs="Arial"/>
          <w:sz w:val="24"/>
          <w:szCs w:val="24"/>
        </w:rPr>
        <w:t xml:space="preserve">Islanders in need of </w:t>
      </w:r>
      <w:r w:rsidR="00AD4DAE">
        <w:rPr>
          <w:rFonts w:ascii="Arial" w:hAnsi="Arial" w:cs="Arial"/>
          <w:sz w:val="24"/>
          <w:szCs w:val="24"/>
        </w:rPr>
        <w:t xml:space="preserve">affordable housing, </w:t>
      </w:r>
      <w:r w:rsidR="00997C7F" w:rsidRPr="00B401D1">
        <w:rPr>
          <w:rFonts w:ascii="Arial" w:hAnsi="Arial" w:cs="Arial"/>
          <w:sz w:val="24"/>
          <w:szCs w:val="24"/>
        </w:rPr>
        <w:t>assisted living or additional housing support</w:t>
      </w:r>
      <w:r w:rsidR="00AD4DAE">
        <w:rPr>
          <w:rFonts w:ascii="Arial" w:hAnsi="Arial" w:cs="Arial"/>
          <w:sz w:val="24"/>
          <w:szCs w:val="24"/>
        </w:rPr>
        <w:t>s</w:t>
      </w:r>
      <w:r w:rsidR="00997C7F" w:rsidRPr="00B401D1">
        <w:rPr>
          <w:rFonts w:ascii="Arial" w:hAnsi="Arial" w:cs="Arial"/>
          <w:sz w:val="24"/>
          <w:szCs w:val="24"/>
        </w:rPr>
        <w:t xml:space="preserve"> will have increased options through a continued community-led housing initiative. </w:t>
      </w:r>
    </w:p>
    <w:p w14:paraId="4D78B1F8" w14:textId="7F87D96D" w:rsidR="004A7879" w:rsidRPr="00B401D1" w:rsidRDefault="001F2C5C" w:rsidP="00B401D1">
      <w:pPr>
        <w:pStyle w:val="NormalWeb"/>
        <w:shd w:val="clear" w:color="auto" w:fill="FFFFFF"/>
        <w:spacing w:before="0" w:beforeAutospacing="0" w:after="150" w:afterAutospacing="0" w:line="276" w:lineRule="auto"/>
        <w:rPr>
          <w:rFonts w:ascii="Arial" w:hAnsi="Arial" w:cs="Arial"/>
        </w:rPr>
      </w:pPr>
      <w:r>
        <w:rPr>
          <w:rFonts w:ascii="Arial" w:hAnsi="Arial" w:cs="Arial"/>
        </w:rPr>
        <w:t xml:space="preserve">The </w:t>
      </w:r>
      <w:r w:rsidR="008824E9" w:rsidRPr="00B401D1">
        <w:rPr>
          <w:rFonts w:ascii="Arial" w:hAnsi="Arial" w:cs="Arial"/>
        </w:rPr>
        <w:t xml:space="preserve">provincial </w:t>
      </w:r>
      <w:r>
        <w:rPr>
          <w:rFonts w:ascii="Arial" w:hAnsi="Arial" w:cs="Arial"/>
        </w:rPr>
        <w:t xml:space="preserve">government is </w:t>
      </w:r>
      <w:r w:rsidR="008824E9" w:rsidRPr="00B401D1">
        <w:rPr>
          <w:rFonts w:ascii="Arial" w:hAnsi="Arial" w:cs="Arial"/>
        </w:rPr>
        <w:t>invest</w:t>
      </w:r>
      <w:r>
        <w:rPr>
          <w:rFonts w:ascii="Arial" w:hAnsi="Arial" w:cs="Arial"/>
        </w:rPr>
        <w:t>ing</w:t>
      </w:r>
      <w:r w:rsidR="00576612">
        <w:rPr>
          <w:rFonts w:ascii="Arial" w:hAnsi="Arial" w:cs="Arial"/>
        </w:rPr>
        <w:t xml:space="preserve"> </w:t>
      </w:r>
      <w:r>
        <w:rPr>
          <w:rFonts w:ascii="Arial" w:hAnsi="Arial" w:cs="Arial"/>
        </w:rPr>
        <w:t>another $</w:t>
      </w:r>
      <w:r w:rsidR="008824E9" w:rsidRPr="00B401D1">
        <w:rPr>
          <w:rFonts w:ascii="Arial" w:hAnsi="Arial" w:cs="Arial"/>
        </w:rPr>
        <w:t xml:space="preserve">3 million </w:t>
      </w:r>
      <w:r>
        <w:rPr>
          <w:rFonts w:ascii="Arial" w:hAnsi="Arial" w:cs="Arial"/>
        </w:rPr>
        <w:t xml:space="preserve">in </w:t>
      </w:r>
      <w:r w:rsidR="00C421A8" w:rsidRPr="00B401D1">
        <w:rPr>
          <w:rFonts w:ascii="Arial" w:hAnsi="Arial" w:cs="Arial"/>
        </w:rPr>
        <w:t>the Community Housing Fund</w:t>
      </w:r>
      <w:r w:rsidR="00576612">
        <w:rPr>
          <w:rFonts w:ascii="Arial" w:hAnsi="Arial" w:cs="Arial"/>
        </w:rPr>
        <w:t xml:space="preserve">, a partnership with the </w:t>
      </w:r>
      <w:r w:rsidR="00576612" w:rsidRPr="00B401D1">
        <w:rPr>
          <w:rFonts w:ascii="Arial" w:hAnsi="Arial" w:cs="Arial"/>
        </w:rPr>
        <w:t>Canadian Mental Health Association (CMHA)</w:t>
      </w:r>
      <w:r w:rsidR="00576612">
        <w:rPr>
          <w:rFonts w:ascii="Arial" w:hAnsi="Arial" w:cs="Arial"/>
        </w:rPr>
        <w:t>,</w:t>
      </w:r>
      <w:r w:rsidR="00C421A8" w:rsidRPr="00B401D1">
        <w:rPr>
          <w:rFonts w:ascii="Arial" w:hAnsi="Arial" w:cs="Arial"/>
        </w:rPr>
        <w:t xml:space="preserve"> </w:t>
      </w:r>
      <w:r>
        <w:rPr>
          <w:rFonts w:ascii="Arial" w:hAnsi="Arial" w:cs="Arial"/>
        </w:rPr>
        <w:t xml:space="preserve">to provide </w:t>
      </w:r>
      <w:r w:rsidR="00C421A8" w:rsidRPr="00B401D1">
        <w:rPr>
          <w:rFonts w:ascii="Arial" w:hAnsi="Arial" w:cs="Arial"/>
        </w:rPr>
        <w:t xml:space="preserve">a second </w:t>
      </w:r>
      <w:r>
        <w:rPr>
          <w:rFonts w:ascii="Arial" w:hAnsi="Arial" w:cs="Arial"/>
        </w:rPr>
        <w:t xml:space="preserve">round of </w:t>
      </w:r>
      <w:r w:rsidR="00576612">
        <w:rPr>
          <w:rFonts w:ascii="Arial" w:hAnsi="Arial" w:cs="Arial"/>
        </w:rPr>
        <w:t xml:space="preserve">funding. </w:t>
      </w:r>
      <w:r w:rsidR="00C421A8" w:rsidRPr="00B401D1">
        <w:rPr>
          <w:rFonts w:ascii="Arial" w:hAnsi="Arial" w:cs="Arial"/>
        </w:rPr>
        <w:t>N</w:t>
      </w:r>
      <w:r w:rsidR="00997C7F" w:rsidRPr="00B401D1">
        <w:rPr>
          <w:rFonts w:ascii="Arial" w:hAnsi="Arial" w:cs="Arial"/>
        </w:rPr>
        <w:t xml:space="preserve">on-profits, community-based service organizations, municipalities and developers can apply </w:t>
      </w:r>
      <w:r w:rsidR="003B554B">
        <w:rPr>
          <w:rFonts w:ascii="Arial" w:hAnsi="Arial" w:cs="Arial"/>
        </w:rPr>
        <w:t xml:space="preserve">for </w:t>
      </w:r>
      <w:r w:rsidR="00576612">
        <w:rPr>
          <w:rFonts w:ascii="Arial" w:hAnsi="Arial" w:cs="Arial"/>
        </w:rPr>
        <w:t xml:space="preserve">support </w:t>
      </w:r>
      <w:r w:rsidR="00997C7F" w:rsidRPr="00B401D1">
        <w:rPr>
          <w:rFonts w:ascii="Arial" w:hAnsi="Arial" w:cs="Arial"/>
        </w:rPr>
        <w:t>to help create more affordable housing options for islanders in need, including those in assisted living or individuals that require increased support. </w:t>
      </w:r>
      <w:bookmarkStart w:id="3" w:name="_GoBack"/>
      <w:bookmarkEnd w:id="3"/>
    </w:p>
    <w:p w14:paraId="37AD228D" w14:textId="77777777" w:rsidR="00DD1068" w:rsidRDefault="00DD1068" w:rsidP="00DD1068">
      <w:pPr>
        <w:spacing w:line="276" w:lineRule="auto"/>
        <w:rPr>
          <w:rFonts w:ascii="Arial" w:hAnsi="Arial" w:cs="Arial"/>
          <w:sz w:val="24"/>
          <w:szCs w:val="24"/>
        </w:rPr>
      </w:pPr>
      <w:r>
        <w:rPr>
          <w:rFonts w:ascii="Arial" w:hAnsi="Arial" w:cs="Arial"/>
          <w:sz w:val="24"/>
          <w:szCs w:val="24"/>
        </w:rPr>
        <w:t xml:space="preserve">“The initial launch of the Community Housing Fund provided $3 million to fund 10 community projects; thanks to our community partners who are dedicated to serving Islanders,” says Brad Trivers, Minister of Social Development and Housing. “Through innovative and collaborative endeavors, we will continue to support Islanders facing housing challenges.” </w:t>
      </w:r>
    </w:p>
    <w:p w14:paraId="441329D4" w14:textId="08135FA1" w:rsidR="00D57A7B" w:rsidRDefault="00DD1068" w:rsidP="00DD1068">
      <w:pPr>
        <w:spacing w:line="276" w:lineRule="auto"/>
        <w:rPr>
          <w:rFonts w:ascii="Arial" w:hAnsi="Arial" w:cs="Arial"/>
          <w:sz w:val="24"/>
          <w:szCs w:val="24"/>
        </w:rPr>
      </w:pPr>
      <w:r w:rsidRPr="00B401D1">
        <w:rPr>
          <w:rFonts w:ascii="Arial" w:hAnsi="Arial" w:cs="Arial"/>
          <w:sz w:val="24"/>
          <w:szCs w:val="24"/>
        </w:rPr>
        <w:t xml:space="preserve"> </w:t>
      </w:r>
      <w:r w:rsidR="00D57A7B" w:rsidRPr="00B401D1">
        <w:rPr>
          <w:rFonts w:ascii="Arial" w:hAnsi="Arial" w:cs="Arial"/>
          <w:sz w:val="24"/>
          <w:szCs w:val="24"/>
        </w:rPr>
        <w:t xml:space="preserve">“We are so pleased to see this program continue for Island businesses, developers, not-for-profits and other service organizations,” says Bill Lawlor, </w:t>
      </w:r>
      <w:r w:rsidR="00D57A7B">
        <w:rPr>
          <w:rFonts w:ascii="Arial" w:hAnsi="Arial" w:cs="Arial"/>
          <w:sz w:val="24"/>
          <w:szCs w:val="24"/>
        </w:rPr>
        <w:t>e</w:t>
      </w:r>
      <w:r w:rsidR="00D57A7B" w:rsidRPr="00B401D1">
        <w:rPr>
          <w:rFonts w:ascii="Arial" w:hAnsi="Arial" w:cs="Arial"/>
          <w:sz w:val="24"/>
          <w:szCs w:val="24"/>
        </w:rPr>
        <w:t xml:space="preserve">xecutive </w:t>
      </w:r>
      <w:r w:rsidR="00D57A7B">
        <w:rPr>
          <w:rFonts w:ascii="Arial" w:hAnsi="Arial" w:cs="Arial"/>
          <w:sz w:val="24"/>
          <w:szCs w:val="24"/>
        </w:rPr>
        <w:t>d</w:t>
      </w:r>
      <w:r w:rsidR="00D57A7B" w:rsidRPr="00B401D1">
        <w:rPr>
          <w:rFonts w:ascii="Arial" w:hAnsi="Arial" w:cs="Arial"/>
          <w:sz w:val="24"/>
          <w:szCs w:val="24"/>
        </w:rPr>
        <w:t>irector of Queens Country Residential Services (QCRS). “Through last year’s program we were able to access funding to build an accessible group home for six residents with one respite space and three apartment units. The building was completed in the fall of 2020 and</w:t>
      </w:r>
      <w:r w:rsidR="00D57A7B">
        <w:rPr>
          <w:rFonts w:ascii="Arial" w:hAnsi="Arial" w:cs="Arial"/>
          <w:sz w:val="24"/>
          <w:szCs w:val="24"/>
        </w:rPr>
        <w:t xml:space="preserve"> is</w:t>
      </w:r>
      <w:r w:rsidR="00D57A7B" w:rsidRPr="00B401D1">
        <w:rPr>
          <w:rFonts w:ascii="Arial" w:hAnsi="Arial" w:cs="Arial"/>
          <w:sz w:val="24"/>
          <w:szCs w:val="24"/>
        </w:rPr>
        <w:t xml:space="preserve"> now open and </w:t>
      </w:r>
      <w:r w:rsidR="00D57A7B">
        <w:rPr>
          <w:rFonts w:ascii="Arial" w:hAnsi="Arial" w:cs="Arial"/>
          <w:sz w:val="24"/>
          <w:szCs w:val="24"/>
        </w:rPr>
        <w:t xml:space="preserve">fully </w:t>
      </w:r>
      <w:r w:rsidR="00D57A7B" w:rsidRPr="00B401D1">
        <w:rPr>
          <w:rFonts w:ascii="Arial" w:hAnsi="Arial" w:cs="Arial"/>
          <w:sz w:val="24"/>
          <w:szCs w:val="24"/>
        </w:rPr>
        <w:t xml:space="preserve">operational. The new space has had a huge impact on the well-being of our residents.” </w:t>
      </w:r>
    </w:p>
    <w:p w14:paraId="2F265C45" w14:textId="5C8D1B8F" w:rsidR="002626CE" w:rsidRPr="00B401D1" w:rsidRDefault="002626CE" w:rsidP="00D57A7B">
      <w:pPr>
        <w:spacing w:line="276" w:lineRule="auto"/>
        <w:rPr>
          <w:rFonts w:ascii="Arial" w:hAnsi="Arial" w:cs="Arial"/>
          <w:sz w:val="24"/>
          <w:szCs w:val="24"/>
        </w:rPr>
      </w:pPr>
      <w:r w:rsidRPr="00B401D1">
        <w:rPr>
          <w:rFonts w:ascii="Arial" w:hAnsi="Arial" w:cs="Arial"/>
          <w:sz w:val="24"/>
          <w:szCs w:val="24"/>
        </w:rPr>
        <w:t xml:space="preserve">Along with provincial funding through the Community Housing Fund, QCRS </w:t>
      </w:r>
      <w:r>
        <w:rPr>
          <w:rFonts w:ascii="Arial" w:hAnsi="Arial" w:cs="Arial"/>
          <w:sz w:val="24"/>
          <w:szCs w:val="24"/>
        </w:rPr>
        <w:t xml:space="preserve">also received </w:t>
      </w:r>
      <w:r w:rsidRPr="00B401D1">
        <w:rPr>
          <w:rFonts w:ascii="Arial" w:hAnsi="Arial" w:cs="Arial"/>
          <w:sz w:val="24"/>
          <w:szCs w:val="24"/>
        </w:rPr>
        <w:t xml:space="preserve">funding from the Canadian Mortgage and Housing Corporation (CMHC) and the Windsor Foundation for </w:t>
      </w:r>
      <w:r>
        <w:rPr>
          <w:rFonts w:ascii="Arial" w:hAnsi="Arial" w:cs="Arial"/>
          <w:sz w:val="24"/>
          <w:szCs w:val="24"/>
        </w:rPr>
        <w:t xml:space="preserve">their new facility. </w:t>
      </w:r>
      <w:r w:rsidRPr="00B401D1">
        <w:rPr>
          <w:rFonts w:ascii="Arial" w:hAnsi="Arial" w:cs="Arial"/>
          <w:sz w:val="24"/>
          <w:szCs w:val="24"/>
        </w:rPr>
        <w:t xml:space="preserve"> </w:t>
      </w:r>
    </w:p>
    <w:p w14:paraId="597843C2" w14:textId="2D4A48D6" w:rsidR="00B401D1" w:rsidRDefault="00C421A8" w:rsidP="00B401D1">
      <w:pPr>
        <w:pStyle w:val="NormalWeb"/>
        <w:shd w:val="clear" w:color="auto" w:fill="FFFFFF"/>
        <w:spacing w:before="0" w:beforeAutospacing="0" w:after="150" w:afterAutospacing="0" w:line="276" w:lineRule="auto"/>
        <w:rPr>
          <w:rFonts w:ascii="Arial" w:hAnsi="Arial" w:cs="Arial"/>
        </w:rPr>
      </w:pPr>
      <w:r w:rsidRPr="00B401D1">
        <w:rPr>
          <w:rFonts w:ascii="Arial" w:hAnsi="Arial" w:cs="Arial"/>
        </w:rPr>
        <w:t xml:space="preserve">The Community Housing Fund has three main categories: capacity building and research; project management and professional services; and construction and development. A selection committee made up of representatives from the Province, CMHA and members of the public will review the applications and make recommendations.  Previous recipients are eligible to </w:t>
      </w:r>
      <w:r w:rsidR="004A7879" w:rsidRPr="00B401D1">
        <w:rPr>
          <w:rFonts w:ascii="Arial" w:hAnsi="Arial" w:cs="Arial"/>
        </w:rPr>
        <w:t xml:space="preserve">apply but must be seeking support for a different project or within another category. </w:t>
      </w:r>
    </w:p>
    <w:p w14:paraId="377172A2" w14:textId="169AA80C" w:rsidR="00C421A8" w:rsidRPr="00B401D1" w:rsidRDefault="00B401D1" w:rsidP="00B401D1">
      <w:pPr>
        <w:pStyle w:val="NormalWeb"/>
        <w:shd w:val="clear" w:color="auto" w:fill="FFFFFF"/>
        <w:spacing w:before="0" w:beforeAutospacing="0" w:after="150" w:afterAutospacing="0" w:line="276" w:lineRule="auto"/>
        <w:rPr>
          <w:rFonts w:ascii="Arial" w:hAnsi="Arial" w:cs="Arial"/>
          <w:bCs/>
          <w:lang w:val="en-CA"/>
        </w:rPr>
      </w:pPr>
      <w:r w:rsidRPr="00B401D1">
        <w:rPr>
          <w:rFonts w:ascii="Arial" w:hAnsi="Arial" w:cs="Arial"/>
          <w:bCs/>
          <w:lang w:val="en-CA"/>
        </w:rPr>
        <w:lastRenderedPageBreak/>
        <w:t xml:space="preserve">“We are very happy to be continuing this valuable partnership with the </w:t>
      </w:r>
      <w:r w:rsidR="00840ACB">
        <w:rPr>
          <w:rFonts w:ascii="Arial" w:hAnsi="Arial" w:cs="Arial"/>
          <w:bCs/>
          <w:lang w:val="en-CA"/>
        </w:rPr>
        <w:t>P</w:t>
      </w:r>
      <w:r w:rsidRPr="00B401D1">
        <w:rPr>
          <w:rFonts w:ascii="Arial" w:hAnsi="Arial" w:cs="Arial"/>
          <w:bCs/>
          <w:lang w:val="en-CA"/>
        </w:rPr>
        <w:t xml:space="preserve">rovince. The housing situation on PEI continues to be at a crucial point especially for vulnerable Islanders seeking safe and affordable housing,” says Shelley </w:t>
      </w:r>
      <w:proofErr w:type="spellStart"/>
      <w:r w:rsidRPr="00B401D1">
        <w:rPr>
          <w:rFonts w:ascii="Arial" w:hAnsi="Arial" w:cs="Arial"/>
          <w:bCs/>
          <w:lang w:val="en-CA"/>
        </w:rPr>
        <w:t>Muzika</w:t>
      </w:r>
      <w:proofErr w:type="spellEnd"/>
      <w:r w:rsidRPr="00B401D1">
        <w:rPr>
          <w:rFonts w:ascii="Arial" w:hAnsi="Arial" w:cs="Arial"/>
          <w:bCs/>
          <w:lang w:val="en-CA"/>
        </w:rPr>
        <w:t xml:space="preserve">, </w:t>
      </w:r>
      <w:r w:rsidR="00840ACB">
        <w:rPr>
          <w:rFonts w:ascii="Arial" w:hAnsi="Arial" w:cs="Arial"/>
          <w:bCs/>
          <w:lang w:val="en-CA"/>
        </w:rPr>
        <w:t>a</w:t>
      </w:r>
      <w:r w:rsidRPr="00B401D1">
        <w:rPr>
          <w:rFonts w:ascii="Arial" w:hAnsi="Arial" w:cs="Arial"/>
          <w:bCs/>
          <w:lang w:val="en-CA"/>
        </w:rPr>
        <w:t xml:space="preserve">cting </w:t>
      </w:r>
      <w:r w:rsidR="00840ACB">
        <w:rPr>
          <w:rFonts w:ascii="Arial" w:hAnsi="Arial" w:cs="Arial"/>
          <w:bCs/>
          <w:lang w:val="en-CA"/>
        </w:rPr>
        <w:t>e</w:t>
      </w:r>
      <w:r w:rsidRPr="00B401D1">
        <w:rPr>
          <w:rFonts w:ascii="Arial" w:hAnsi="Arial" w:cs="Arial"/>
          <w:bCs/>
          <w:lang w:val="en-CA"/>
        </w:rPr>
        <w:t xml:space="preserve">xecutive </w:t>
      </w:r>
      <w:r w:rsidR="00840ACB">
        <w:rPr>
          <w:rFonts w:ascii="Arial" w:hAnsi="Arial" w:cs="Arial"/>
          <w:bCs/>
          <w:lang w:val="en-CA"/>
        </w:rPr>
        <w:t>d</w:t>
      </w:r>
      <w:r w:rsidRPr="00B401D1">
        <w:rPr>
          <w:rFonts w:ascii="Arial" w:hAnsi="Arial" w:cs="Arial"/>
          <w:bCs/>
          <w:lang w:val="en-CA"/>
        </w:rPr>
        <w:t>irector, CMHA. “The Community Housing Fund will enable our partners to provide those much-needed supports</w:t>
      </w:r>
      <w:r w:rsidR="00840ACB">
        <w:rPr>
          <w:rFonts w:ascii="Arial" w:hAnsi="Arial" w:cs="Arial"/>
          <w:bCs/>
          <w:lang w:val="en-CA"/>
        </w:rPr>
        <w:t xml:space="preserve"> within our community</w:t>
      </w:r>
      <w:r w:rsidRPr="00B401D1">
        <w:rPr>
          <w:rFonts w:ascii="Arial" w:hAnsi="Arial" w:cs="Arial"/>
          <w:bCs/>
          <w:lang w:val="en-CA"/>
        </w:rPr>
        <w:t xml:space="preserve">.”  </w:t>
      </w:r>
    </w:p>
    <w:p w14:paraId="65673D16" w14:textId="221F725B" w:rsidR="00745899" w:rsidRPr="00AD3D42" w:rsidRDefault="00C421A8" w:rsidP="00745899">
      <w:pPr>
        <w:pStyle w:val="NormalWeb"/>
        <w:shd w:val="clear" w:color="auto" w:fill="FFFFFF"/>
        <w:spacing w:before="0" w:beforeAutospacing="0" w:after="150" w:afterAutospacing="0" w:line="276" w:lineRule="auto"/>
        <w:rPr>
          <w:rFonts w:ascii="Arial" w:hAnsi="Arial" w:cs="Arial"/>
          <w:b/>
        </w:rPr>
      </w:pPr>
      <w:r w:rsidRPr="00B401D1">
        <w:rPr>
          <w:rFonts w:ascii="Arial" w:hAnsi="Arial" w:cs="Arial"/>
        </w:rPr>
        <w:t>Applications for the Community Housing Fund will be accepted</w:t>
      </w:r>
      <w:r w:rsidRPr="00B401D1">
        <w:rPr>
          <w:rStyle w:val="Strong"/>
          <w:rFonts w:ascii="Arial" w:hAnsi="Arial" w:cs="Arial"/>
        </w:rPr>
        <w:t> until September 17, 2021</w:t>
      </w:r>
      <w:r w:rsidR="00745899">
        <w:rPr>
          <w:rStyle w:val="Strong"/>
          <w:rFonts w:ascii="Arial" w:hAnsi="Arial" w:cs="Arial"/>
        </w:rPr>
        <w:t xml:space="preserve"> </w:t>
      </w:r>
      <w:r w:rsidR="00745899" w:rsidRPr="002626CE">
        <w:rPr>
          <w:rStyle w:val="Strong"/>
          <w:rFonts w:ascii="Arial" w:hAnsi="Arial" w:cs="Arial"/>
          <w:b w:val="0"/>
          <w:bCs w:val="0"/>
        </w:rPr>
        <w:t>at</w:t>
      </w:r>
      <w:r w:rsidR="00745899">
        <w:rPr>
          <w:rStyle w:val="Strong"/>
          <w:rFonts w:ascii="Arial" w:hAnsi="Arial" w:cs="Arial"/>
        </w:rPr>
        <w:t xml:space="preserve"> </w:t>
      </w:r>
      <w:r w:rsidR="00745899" w:rsidRPr="00AD3D42">
        <w:rPr>
          <w:rStyle w:val="Strong"/>
          <w:rFonts w:ascii="Arial" w:hAnsi="Arial" w:cs="Arial"/>
          <w:b w:val="0"/>
          <w:bCs w:val="0"/>
        </w:rPr>
        <w:t>pei.cmha.ca/community-housing-fund/</w:t>
      </w:r>
    </w:p>
    <w:p w14:paraId="6D401AB7" w14:textId="7AE73B69" w:rsidR="00C421A8" w:rsidRPr="00B401D1" w:rsidRDefault="00C421A8" w:rsidP="00B401D1">
      <w:pPr>
        <w:pStyle w:val="NormalWeb"/>
        <w:shd w:val="clear" w:color="auto" w:fill="FFFFFF"/>
        <w:spacing w:before="0" w:beforeAutospacing="0" w:after="150" w:afterAutospacing="0" w:line="276" w:lineRule="auto"/>
        <w:rPr>
          <w:rStyle w:val="Strong"/>
          <w:rFonts w:ascii="Arial" w:hAnsi="Arial" w:cs="Arial"/>
        </w:rPr>
      </w:pPr>
    </w:p>
    <w:p w14:paraId="7CF31253" w14:textId="043C9947" w:rsidR="005F32D2" w:rsidRDefault="005F32D2" w:rsidP="002626CE">
      <w:pPr>
        <w:spacing w:line="360" w:lineRule="auto"/>
        <w:jc w:val="center"/>
        <w:rPr>
          <w:rFonts w:ascii="Arial" w:hAnsi="Arial" w:cs="Arial"/>
          <w:sz w:val="24"/>
          <w:szCs w:val="24"/>
          <w:lang w:val="en-CA"/>
        </w:rPr>
      </w:pPr>
      <w:r>
        <w:rPr>
          <w:rFonts w:ascii="Arial" w:hAnsi="Arial" w:cs="Arial"/>
          <w:sz w:val="24"/>
          <w:szCs w:val="24"/>
          <w:lang w:val="en-CA"/>
        </w:rPr>
        <w:t>- 30 -</w:t>
      </w:r>
    </w:p>
    <w:p w14:paraId="1412F94F" w14:textId="77777777" w:rsidR="005F32D2" w:rsidRDefault="005F32D2" w:rsidP="005F32D2">
      <w:pPr>
        <w:rPr>
          <w:rFonts w:ascii="Arial" w:hAnsi="Arial" w:cs="Arial"/>
          <w:b/>
          <w:bCs/>
          <w:sz w:val="24"/>
          <w:szCs w:val="24"/>
          <w:lang w:val="en-CA"/>
        </w:rPr>
      </w:pPr>
    </w:p>
    <w:p w14:paraId="36F3089E" w14:textId="77777777" w:rsidR="005F32D2" w:rsidRDefault="005F32D2" w:rsidP="005F32D2">
      <w:pPr>
        <w:rPr>
          <w:rFonts w:ascii="Arial" w:hAnsi="Arial" w:cs="Arial"/>
          <w:sz w:val="24"/>
          <w:szCs w:val="24"/>
          <w:lang w:val="en-CA"/>
        </w:rPr>
      </w:pPr>
      <w:r>
        <w:rPr>
          <w:rFonts w:ascii="Arial" w:hAnsi="Arial" w:cs="Arial"/>
          <w:b/>
          <w:bCs/>
          <w:sz w:val="24"/>
          <w:szCs w:val="24"/>
          <w:lang w:val="en-CA"/>
        </w:rPr>
        <w:t>Media contact:</w:t>
      </w:r>
    </w:p>
    <w:p w14:paraId="249E62BA" w14:textId="77777777" w:rsidR="005F32D2" w:rsidRPr="005F32D2" w:rsidRDefault="005F32D2" w:rsidP="005F32D2">
      <w:pPr>
        <w:spacing w:after="0"/>
        <w:rPr>
          <w:rFonts w:ascii="Arial" w:hAnsi="Arial" w:cs="Arial"/>
          <w:b/>
          <w:bCs/>
          <w:sz w:val="24"/>
          <w:szCs w:val="24"/>
          <w:lang w:val="en-CA"/>
        </w:rPr>
      </w:pPr>
      <w:r w:rsidRPr="005F32D2">
        <w:rPr>
          <w:rFonts w:ascii="Arial" w:hAnsi="Arial" w:cs="Arial"/>
          <w:b/>
          <w:bCs/>
          <w:sz w:val="24"/>
          <w:szCs w:val="24"/>
          <w:lang w:val="en-CA"/>
        </w:rPr>
        <w:t>Rebecca Gass</w:t>
      </w:r>
    </w:p>
    <w:p w14:paraId="6B3E3E6D" w14:textId="77777777" w:rsidR="005F32D2" w:rsidRDefault="005F32D2" w:rsidP="005F32D2">
      <w:pPr>
        <w:spacing w:after="0"/>
        <w:rPr>
          <w:rFonts w:ascii="Arial" w:hAnsi="Arial" w:cs="Arial"/>
          <w:sz w:val="24"/>
          <w:szCs w:val="24"/>
          <w:lang w:val="en-CA"/>
        </w:rPr>
      </w:pPr>
      <w:r>
        <w:rPr>
          <w:rFonts w:ascii="Arial" w:hAnsi="Arial" w:cs="Arial"/>
          <w:sz w:val="24"/>
          <w:szCs w:val="24"/>
          <w:lang w:val="en-CA"/>
        </w:rPr>
        <w:t>Senior Communications Officer</w:t>
      </w:r>
    </w:p>
    <w:p w14:paraId="4DEDD907" w14:textId="6045830C" w:rsidR="005F32D2" w:rsidRDefault="005F32D2" w:rsidP="005F32D2">
      <w:pPr>
        <w:spacing w:after="0"/>
        <w:rPr>
          <w:rFonts w:ascii="Arial" w:hAnsi="Arial" w:cs="Arial"/>
          <w:sz w:val="24"/>
          <w:szCs w:val="24"/>
          <w:lang w:val="en-CA"/>
        </w:rPr>
      </w:pPr>
      <w:r>
        <w:rPr>
          <w:rFonts w:ascii="Arial" w:hAnsi="Arial" w:cs="Arial"/>
          <w:sz w:val="24"/>
          <w:szCs w:val="24"/>
          <w:lang w:val="en-CA"/>
        </w:rPr>
        <w:t>Social Development and Housing</w:t>
      </w:r>
    </w:p>
    <w:p w14:paraId="65C14896" w14:textId="43B6091F" w:rsidR="005F32D2" w:rsidRPr="00764324" w:rsidRDefault="005F32D2" w:rsidP="005F32D2">
      <w:pPr>
        <w:spacing w:after="0"/>
        <w:rPr>
          <w:rFonts w:ascii="Arial" w:hAnsi="Arial" w:cs="Arial"/>
          <w:sz w:val="24"/>
          <w:szCs w:val="24"/>
        </w:rPr>
      </w:pPr>
      <w:r w:rsidRPr="00764324">
        <w:rPr>
          <w:rFonts w:ascii="Arial" w:hAnsi="Arial" w:cs="Arial"/>
          <w:sz w:val="24"/>
          <w:szCs w:val="24"/>
        </w:rPr>
        <w:t>902-213-4507</w:t>
      </w:r>
    </w:p>
    <w:p w14:paraId="68489DC7" w14:textId="49836DC3" w:rsidR="005F32D2" w:rsidRPr="00764324" w:rsidRDefault="003A4FEC" w:rsidP="005F32D2">
      <w:pPr>
        <w:spacing w:after="0"/>
        <w:rPr>
          <w:rFonts w:ascii="Arial" w:hAnsi="Arial" w:cs="Arial"/>
          <w:sz w:val="24"/>
          <w:szCs w:val="24"/>
        </w:rPr>
      </w:pPr>
      <w:hyperlink r:id="rId5" w:history="1">
        <w:r w:rsidR="005F32D2" w:rsidRPr="00764324">
          <w:rPr>
            <w:rStyle w:val="Hyperlink"/>
            <w:rFonts w:ascii="Arial" w:hAnsi="Arial" w:cs="Arial"/>
            <w:sz w:val="24"/>
            <w:szCs w:val="24"/>
          </w:rPr>
          <w:t>rjgass@gov.pe.ca</w:t>
        </w:r>
      </w:hyperlink>
      <w:r w:rsidR="005F32D2" w:rsidRPr="00764324">
        <w:rPr>
          <w:rFonts w:ascii="Arial" w:hAnsi="Arial" w:cs="Arial"/>
          <w:sz w:val="24"/>
          <w:szCs w:val="24"/>
        </w:rPr>
        <w:t xml:space="preserve"> </w:t>
      </w:r>
    </w:p>
    <w:p w14:paraId="5216AB87" w14:textId="4ABF4424" w:rsidR="005F32D2" w:rsidRPr="00764324" w:rsidRDefault="005F32D2" w:rsidP="005F32D2">
      <w:pPr>
        <w:spacing w:after="0"/>
        <w:rPr>
          <w:rFonts w:ascii="Arial" w:hAnsi="Arial" w:cs="Arial"/>
          <w:sz w:val="24"/>
          <w:szCs w:val="24"/>
        </w:rPr>
      </w:pPr>
    </w:p>
    <w:p w14:paraId="26A5FAB6" w14:textId="423A5460" w:rsidR="005F32D2" w:rsidRPr="00764324" w:rsidRDefault="005F32D2" w:rsidP="005F32D2">
      <w:pPr>
        <w:spacing w:after="0"/>
        <w:rPr>
          <w:rFonts w:ascii="Arial" w:hAnsi="Arial" w:cs="Arial"/>
          <w:b/>
          <w:bCs/>
          <w:sz w:val="24"/>
          <w:szCs w:val="24"/>
        </w:rPr>
      </w:pPr>
      <w:r w:rsidRPr="00764324">
        <w:rPr>
          <w:rFonts w:ascii="Arial" w:hAnsi="Arial" w:cs="Arial"/>
          <w:b/>
          <w:bCs/>
          <w:sz w:val="24"/>
          <w:szCs w:val="24"/>
        </w:rPr>
        <w:t>Lori Morris</w:t>
      </w:r>
    </w:p>
    <w:p w14:paraId="52C3C270" w14:textId="506D9646" w:rsidR="005F32D2" w:rsidRDefault="005F32D2" w:rsidP="005F32D2">
      <w:pPr>
        <w:spacing w:after="0"/>
        <w:rPr>
          <w:rFonts w:ascii="Arial" w:hAnsi="Arial" w:cs="Arial"/>
          <w:sz w:val="24"/>
          <w:szCs w:val="24"/>
          <w:lang w:val="en-CA"/>
        </w:rPr>
      </w:pPr>
      <w:r>
        <w:rPr>
          <w:rFonts w:ascii="Arial" w:hAnsi="Arial" w:cs="Arial"/>
          <w:sz w:val="24"/>
          <w:szCs w:val="24"/>
          <w:lang w:val="en-CA"/>
        </w:rPr>
        <w:t>Communications Coordinator</w:t>
      </w:r>
    </w:p>
    <w:p w14:paraId="172AD69F" w14:textId="36074997" w:rsidR="005F32D2" w:rsidRPr="005F32D2" w:rsidRDefault="005F32D2" w:rsidP="005F32D2">
      <w:pPr>
        <w:spacing w:after="0"/>
        <w:rPr>
          <w:rFonts w:ascii="Arial" w:hAnsi="Arial" w:cs="Arial"/>
          <w:sz w:val="24"/>
          <w:szCs w:val="24"/>
          <w:lang w:val="en-CA"/>
        </w:rPr>
      </w:pPr>
      <w:r w:rsidRPr="005F32D2">
        <w:rPr>
          <w:rFonts w:ascii="Arial" w:hAnsi="Arial" w:cs="Arial"/>
          <w:sz w:val="24"/>
          <w:szCs w:val="24"/>
          <w:lang w:val="en-CA"/>
        </w:rPr>
        <w:t xml:space="preserve">Canadian Mental Health Association – PEI Division </w:t>
      </w:r>
    </w:p>
    <w:p w14:paraId="4E61B468" w14:textId="77777777" w:rsidR="005F32D2" w:rsidRPr="002626CE" w:rsidRDefault="005F32D2" w:rsidP="005F32D2">
      <w:pPr>
        <w:pStyle w:val="NormalWeb"/>
        <w:shd w:val="clear" w:color="auto" w:fill="FFFFFF"/>
        <w:spacing w:before="0" w:beforeAutospacing="0" w:after="0" w:afterAutospacing="0"/>
        <w:rPr>
          <w:rFonts w:ascii="Arial" w:hAnsi="Arial" w:cs="Arial"/>
          <w:color w:val="333333"/>
        </w:rPr>
      </w:pPr>
      <w:r w:rsidRPr="002626CE">
        <w:rPr>
          <w:rFonts w:ascii="Arial" w:hAnsi="Arial" w:cs="Arial"/>
          <w:color w:val="333333"/>
        </w:rPr>
        <w:t>902-628-3650</w:t>
      </w:r>
    </w:p>
    <w:p w14:paraId="1775ADD7" w14:textId="6A406874" w:rsidR="005F32D2" w:rsidRPr="002626CE" w:rsidRDefault="003A4FEC" w:rsidP="005F32D2">
      <w:pPr>
        <w:pStyle w:val="NormalWeb"/>
        <w:shd w:val="clear" w:color="auto" w:fill="FFFFFF"/>
        <w:spacing w:before="0" w:beforeAutospacing="0" w:after="0" w:afterAutospacing="0"/>
        <w:rPr>
          <w:rFonts w:ascii="Arial" w:hAnsi="Arial" w:cs="Arial"/>
          <w:color w:val="333333"/>
        </w:rPr>
      </w:pPr>
      <w:hyperlink r:id="rId6" w:history="1">
        <w:r w:rsidR="005F32D2" w:rsidRPr="002626CE">
          <w:rPr>
            <w:rStyle w:val="Hyperlink"/>
            <w:rFonts w:ascii="Arial" w:hAnsi="Arial" w:cs="Arial"/>
          </w:rPr>
          <w:t>communications@cmha.pe.ca</w:t>
        </w:r>
      </w:hyperlink>
    </w:p>
    <w:p w14:paraId="39E2D68F" w14:textId="0703DAEC" w:rsidR="005F32D2" w:rsidRPr="002626CE" w:rsidRDefault="005F32D2" w:rsidP="005F32D2">
      <w:pPr>
        <w:pStyle w:val="NormalWeb"/>
        <w:shd w:val="clear" w:color="auto" w:fill="FFFFFF"/>
        <w:spacing w:before="0" w:beforeAutospacing="0" w:after="0" w:afterAutospacing="0"/>
        <w:rPr>
          <w:rFonts w:ascii="Arial" w:hAnsi="Arial" w:cs="Arial"/>
          <w:color w:val="333333"/>
        </w:rPr>
      </w:pPr>
    </w:p>
    <w:p w14:paraId="509EEB17" w14:textId="77777777" w:rsidR="005F32D2" w:rsidRPr="002626CE" w:rsidRDefault="005F32D2" w:rsidP="005F32D2">
      <w:pPr>
        <w:spacing w:after="0"/>
        <w:rPr>
          <w:rFonts w:ascii="Arial" w:hAnsi="Arial" w:cs="Arial"/>
          <w:sz w:val="24"/>
          <w:szCs w:val="24"/>
        </w:rPr>
      </w:pPr>
    </w:p>
    <w:p w14:paraId="560FF78F"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338DFFBA"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12C814B8"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56E2E779"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288E41AC"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10B7A904"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3A0EA910"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2E971747"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36D7E78B"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44DA42AC" w14:textId="77777777" w:rsidR="002626CE" w:rsidRDefault="002626CE" w:rsidP="002626CE">
      <w:pPr>
        <w:pStyle w:val="NormalWeb"/>
        <w:shd w:val="clear" w:color="auto" w:fill="FFFFFF"/>
        <w:spacing w:before="0" w:beforeAutospacing="0" w:after="150" w:afterAutospacing="0" w:line="276" w:lineRule="auto"/>
        <w:rPr>
          <w:rFonts w:ascii="Arial" w:hAnsi="Arial" w:cs="Arial"/>
          <w:b/>
          <w:bCs/>
        </w:rPr>
      </w:pPr>
    </w:p>
    <w:p w14:paraId="5E257354" w14:textId="13DA9D89" w:rsidR="002626CE" w:rsidRPr="002626CE" w:rsidRDefault="002626CE" w:rsidP="002626CE">
      <w:pPr>
        <w:pStyle w:val="NormalWeb"/>
        <w:shd w:val="clear" w:color="auto" w:fill="FFFFFF"/>
        <w:spacing w:before="0" w:beforeAutospacing="0" w:after="150" w:afterAutospacing="0" w:line="276" w:lineRule="auto"/>
        <w:rPr>
          <w:rFonts w:ascii="Arial" w:hAnsi="Arial" w:cs="Arial"/>
          <w:b/>
          <w:bCs/>
          <w:color w:val="333333"/>
        </w:rPr>
      </w:pPr>
      <w:r w:rsidRPr="002626CE">
        <w:rPr>
          <w:rFonts w:ascii="Arial" w:hAnsi="Arial" w:cs="Arial"/>
          <w:b/>
          <w:bCs/>
        </w:rPr>
        <w:lastRenderedPageBreak/>
        <w:t>Backgrounder</w:t>
      </w:r>
      <w:r w:rsidRPr="002626CE">
        <w:rPr>
          <w:rFonts w:ascii="Arial" w:hAnsi="Arial" w:cs="Arial"/>
          <w:b/>
          <w:bCs/>
          <w:color w:val="333333"/>
        </w:rPr>
        <w:t xml:space="preserve"> </w:t>
      </w:r>
    </w:p>
    <w:p w14:paraId="282E4AB2" w14:textId="4B7B8EE3" w:rsidR="002626CE" w:rsidRPr="002626CE" w:rsidRDefault="002626CE" w:rsidP="002626CE">
      <w:pPr>
        <w:pStyle w:val="NormalWeb"/>
        <w:shd w:val="clear" w:color="auto" w:fill="FFFFFF"/>
        <w:spacing w:before="0" w:beforeAutospacing="0" w:after="150" w:afterAutospacing="0" w:line="276" w:lineRule="auto"/>
        <w:rPr>
          <w:rFonts w:ascii="Arial" w:hAnsi="Arial" w:cs="Arial"/>
          <w:color w:val="333333"/>
        </w:rPr>
      </w:pPr>
      <w:r w:rsidRPr="002626CE">
        <w:rPr>
          <w:rFonts w:ascii="Arial" w:hAnsi="Arial" w:cs="Arial"/>
          <w:color w:val="333333"/>
        </w:rPr>
        <w:t>The Community Housing Fund has three categories:</w:t>
      </w:r>
    </w:p>
    <w:p w14:paraId="12F451E1" w14:textId="77777777" w:rsidR="002626CE" w:rsidRPr="002626CE" w:rsidRDefault="002626CE" w:rsidP="002626CE">
      <w:pPr>
        <w:shd w:val="clear" w:color="auto" w:fill="FFFFFF"/>
        <w:spacing w:after="150" w:line="276" w:lineRule="auto"/>
        <w:rPr>
          <w:rFonts w:ascii="Arial" w:eastAsia="Times New Roman" w:hAnsi="Arial" w:cs="Arial"/>
          <w:color w:val="333333"/>
          <w:sz w:val="24"/>
          <w:szCs w:val="24"/>
        </w:rPr>
      </w:pPr>
      <w:r w:rsidRPr="002626CE">
        <w:rPr>
          <w:rFonts w:ascii="Arial" w:eastAsia="Times New Roman" w:hAnsi="Arial" w:cs="Arial"/>
          <w:b/>
          <w:bCs/>
          <w:color w:val="333333"/>
          <w:sz w:val="24"/>
          <w:szCs w:val="24"/>
        </w:rPr>
        <w:t>1. Capacity Building and Research</w:t>
      </w:r>
    </w:p>
    <w:p w14:paraId="1AB9138A" w14:textId="77777777" w:rsidR="002626CE" w:rsidRPr="002626CE" w:rsidRDefault="002626CE" w:rsidP="002626CE">
      <w:pPr>
        <w:spacing w:after="0" w:line="276" w:lineRule="auto"/>
        <w:rPr>
          <w:rFonts w:ascii="Arial" w:hAnsi="Arial" w:cs="Arial"/>
          <w:sz w:val="24"/>
          <w:szCs w:val="24"/>
        </w:rPr>
      </w:pPr>
      <w:r w:rsidRPr="002626CE">
        <w:rPr>
          <w:rFonts w:ascii="Arial" w:hAnsi="Arial" w:cs="Arial"/>
          <w:sz w:val="24"/>
          <w:szCs w:val="24"/>
        </w:rPr>
        <w:t xml:space="preserve">This category of funding can be utilized to build community capacity and / or undertake necessary research to support a proposed development. Community capacity building refers to strengthening the skills and competencies of people and communities as well as local grassroots movements in order to achieve a set of goals. Maximum funding under this category is $10,000 or 75% of project costs. </w:t>
      </w:r>
    </w:p>
    <w:p w14:paraId="3948B495" w14:textId="77777777" w:rsidR="002626CE" w:rsidRPr="002626CE" w:rsidRDefault="002626CE" w:rsidP="002626CE">
      <w:pPr>
        <w:shd w:val="clear" w:color="auto" w:fill="FFFFFF"/>
        <w:spacing w:after="150" w:line="276" w:lineRule="auto"/>
        <w:rPr>
          <w:rFonts w:ascii="Arial" w:eastAsia="Times New Roman" w:hAnsi="Arial" w:cs="Arial"/>
          <w:b/>
          <w:bCs/>
          <w:color w:val="333333"/>
          <w:sz w:val="24"/>
          <w:szCs w:val="24"/>
        </w:rPr>
      </w:pPr>
    </w:p>
    <w:p w14:paraId="0F0FEC2F" w14:textId="492F5E7D" w:rsidR="002626CE" w:rsidRPr="002626CE" w:rsidRDefault="002626CE" w:rsidP="002626CE">
      <w:pPr>
        <w:shd w:val="clear" w:color="auto" w:fill="FFFFFF"/>
        <w:spacing w:after="150" w:line="276" w:lineRule="auto"/>
        <w:rPr>
          <w:rFonts w:ascii="Arial" w:eastAsia="Times New Roman" w:hAnsi="Arial" w:cs="Arial"/>
          <w:color w:val="333333"/>
          <w:sz w:val="24"/>
          <w:szCs w:val="24"/>
        </w:rPr>
      </w:pPr>
      <w:r w:rsidRPr="002626CE">
        <w:rPr>
          <w:rFonts w:ascii="Arial" w:eastAsia="Times New Roman" w:hAnsi="Arial" w:cs="Arial"/>
          <w:b/>
          <w:bCs/>
          <w:color w:val="333333"/>
          <w:sz w:val="24"/>
          <w:szCs w:val="24"/>
        </w:rPr>
        <w:t>2. Project Management and Professional Services</w:t>
      </w:r>
    </w:p>
    <w:p w14:paraId="207301DB" w14:textId="77777777" w:rsidR="002626CE" w:rsidRPr="002626CE" w:rsidRDefault="002626CE" w:rsidP="002626CE">
      <w:pPr>
        <w:spacing w:after="0" w:line="276" w:lineRule="auto"/>
        <w:rPr>
          <w:rFonts w:ascii="Arial" w:hAnsi="Arial" w:cs="Arial"/>
          <w:sz w:val="24"/>
          <w:szCs w:val="24"/>
        </w:rPr>
      </w:pPr>
      <w:r w:rsidRPr="002626CE">
        <w:rPr>
          <w:rFonts w:ascii="Arial" w:hAnsi="Arial" w:cs="Arial"/>
          <w:sz w:val="24"/>
          <w:szCs w:val="24"/>
        </w:rPr>
        <w:t xml:space="preserve">Funding under this category can be used to hire an external resource(s) to assist with the planning process of the housing project. This could be in the areas of business, accounting, or another skillset that is not within the applicant organization. Maximum funding under this category is $50,000 or 75% of project costs. </w:t>
      </w:r>
    </w:p>
    <w:p w14:paraId="62210E1B" w14:textId="77777777" w:rsidR="002626CE" w:rsidRPr="002626CE" w:rsidRDefault="002626CE" w:rsidP="002626CE">
      <w:pPr>
        <w:shd w:val="clear" w:color="auto" w:fill="FFFFFF"/>
        <w:spacing w:after="150" w:line="276" w:lineRule="auto"/>
        <w:rPr>
          <w:rFonts w:ascii="Arial" w:eastAsia="Times New Roman" w:hAnsi="Arial" w:cs="Arial"/>
          <w:b/>
          <w:bCs/>
          <w:color w:val="333333"/>
          <w:sz w:val="24"/>
          <w:szCs w:val="24"/>
        </w:rPr>
      </w:pPr>
    </w:p>
    <w:p w14:paraId="06CB7595" w14:textId="771B01CD" w:rsidR="002626CE" w:rsidRPr="002626CE" w:rsidRDefault="002626CE" w:rsidP="002626CE">
      <w:pPr>
        <w:shd w:val="clear" w:color="auto" w:fill="FFFFFF"/>
        <w:spacing w:after="150" w:line="276" w:lineRule="auto"/>
        <w:rPr>
          <w:rFonts w:ascii="Arial" w:eastAsia="Times New Roman" w:hAnsi="Arial" w:cs="Arial"/>
          <w:color w:val="333333"/>
          <w:sz w:val="24"/>
          <w:szCs w:val="24"/>
        </w:rPr>
      </w:pPr>
      <w:r w:rsidRPr="002626CE">
        <w:rPr>
          <w:rFonts w:ascii="Arial" w:eastAsia="Times New Roman" w:hAnsi="Arial" w:cs="Arial"/>
          <w:b/>
          <w:bCs/>
          <w:color w:val="333333"/>
          <w:sz w:val="24"/>
          <w:szCs w:val="24"/>
        </w:rPr>
        <w:t>3. Construction and Development</w:t>
      </w:r>
    </w:p>
    <w:p w14:paraId="4BD94E3A" w14:textId="77777777" w:rsidR="002626CE" w:rsidRPr="002626CE" w:rsidRDefault="002626CE" w:rsidP="002626CE">
      <w:pPr>
        <w:spacing w:after="0" w:line="276" w:lineRule="auto"/>
        <w:rPr>
          <w:rFonts w:ascii="Arial" w:hAnsi="Arial" w:cs="Arial"/>
          <w:sz w:val="24"/>
          <w:szCs w:val="24"/>
        </w:rPr>
      </w:pPr>
      <w:r w:rsidRPr="002626CE">
        <w:rPr>
          <w:rFonts w:ascii="Arial" w:hAnsi="Arial" w:cs="Arial"/>
          <w:sz w:val="24"/>
          <w:szCs w:val="24"/>
        </w:rPr>
        <w:t xml:space="preserve">Grant for the construction of a housing facility including related services for engineering and architecture (as applicable). We expect that this fund is not the sole source of construction funds and that applicants have other grants or financing in place to support construction. Eligible projects can be completely affordable or a mix of affordable and market units. Maximum funding under this category is 30% of project costs up to a $1 million contribution. </w:t>
      </w:r>
    </w:p>
    <w:p w14:paraId="46ECAC58" w14:textId="77777777" w:rsidR="002626CE" w:rsidRPr="002626CE" w:rsidRDefault="002626CE" w:rsidP="002626CE">
      <w:pPr>
        <w:spacing w:after="0" w:line="276" w:lineRule="auto"/>
        <w:rPr>
          <w:rFonts w:ascii="Arial" w:hAnsi="Arial" w:cs="Arial"/>
          <w:sz w:val="24"/>
          <w:szCs w:val="24"/>
        </w:rPr>
      </w:pPr>
    </w:p>
    <w:sectPr w:rsidR="002626CE" w:rsidRPr="0026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5526E"/>
    <w:multiLevelType w:val="multilevel"/>
    <w:tmpl w:val="FF0C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36"/>
    <w:rsid w:val="00014D27"/>
    <w:rsid w:val="000C32A6"/>
    <w:rsid w:val="000D50F3"/>
    <w:rsid w:val="000E1F8A"/>
    <w:rsid w:val="00142B36"/>
    <w:rsid w:val="001F2C5C"/>
    <w:rsid w:val="002626CE"/>
    <w:rsid w:val="003A2F3E"/>
    <w:rsid w:val="003A4FEC"/>
    <w:rsid w:val="003B554B"/>
    <w:rsid w:val="004A7879"/>
    <w:rsid w:val="00576612"/>
    <w:rsid w:val="00586868"/>
    <w:rsid w:val="005F32D2"/>
    <w:rsid w:val="00745899"/>
    <w:rsid w:val="00764324"/>
    <w:rsid w:val="00840ACB"/>
    <w:rsid w:val="00854787"/>
    <w:rsid w:val="008824E9"/>
    <w:rsid w:val="009955C9"/>
    <w:rsid w:val="00997C7F"/>
    <w:rsid w:val="009D420B"/>
    <w:rsid w:val="009E5ED8"/>
    <w:rsid w:val="00AB570D"/>
    <w:rsid w:val="00AD4DAE"/>
    <w:rsid w:val="00B138F2"/>
    <w:rsid w:val="00B401D1"/>
    <w:rsid w:val="00C421A8"/>
    <w:rsid w:val="00D03DED"/>
    <w:rsid w:val="00D57A7B"/>
    <w:rsid w:val="00DA1FB0"/>
    <w:rsid w:val="00DD1068"/>
    <w:rsid w:val="00E6577B"/>
    <w:rsid w:val="00EE0D62"/>
    <w:rsid w:val="00F1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BB20"/>
  <w15:chartTrackingRefBased/>
  <w15:docId w15:val="{223AD4A6-CF6C-4335-8CFD-77F18E3F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F32D2"/>
    <w:rPr>
      <w:color w:val="0000FF"/>
      <w:u w:val="single"/>
    </w:rPr>
  </w:style>
  <w:style w:type="character" w:customStyle="1" w:styleId="element-invisible">
    <w:name w:val="element-invisible"/>
    <w:basedOn w:val="DefaultParagraphFont"/>
    <w:rsid w:val="005F32D2"/>
  </w:style>
  <w:style w:type="character" w:customStyle="1" w:styleId="UnresolvedMention1">
    <w:name w:val="Unresolved Mention1"/>
    <w:basedOn w:val="DefaultParagraphFont"/>
    <w:uiPriority w:val="99"/>
    <w:semiHidden/>
    <w:unhideWhenUsed/>
    <w:rsid w:val="005F32D2"/>
    <w:rPr>
      <w:color w:val="605E5C"/>
      <w:shd w:val="clear" w:color="auto" w:fill="E1DFDD"/>
    </w:rPr>
  </w:style>
  <w:style w:type="paragraph" w:styleId="BalloonText">
    <w:name w:val="Balloon Text"/>
    <w:basedOn w:val="Normal"/>
    <w:link w:val="BalloonTextChar"/>
    <w:uiPriority w:val="99"/>
    <w:semiHidden/>
    <w:unhideWhenUsed/>
    <w:rsid w:val="00F1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67"/>
    <w:rPr>
      <w:rFonts w:ascii="Segoe UI" w:hAnsi="Segoe UI" w:cs="Segoe UI"/>
      <w:sz w:val="18"/>
      <w:szCs w:val="18"/>
    </w:rPr>
  </w:style>
  <w:style w:type="character" w:styleId="Strong">
    <w:name w:val="Strong"/>
    <w:basedOn w:val="DefaultParagraphFont"/>
    <w:uiPriority w:val="22"/>
    <w:qFormat/>
    <w:rsid w:val="00C421A8"/>
    <w:rPr>
      <w:b/>
      <w:bCs/>
    </w:rPr>
  </w:style>
  <w:style w:type="character" w:styleId="CommentReference">
    <w:name w:val="annotation reference"/>
    <w:basedOn w:val="DefaultParagraphFont"/>
    <w:uiPriority w:val="99"/>
    <w:semiHidden/>
    <w:unhideWhenUsed/>
    <w:rsid w:val="00AD4DAE"/>
    <w:rPr>
      <w:sz w:val="16"/>
      <w:szCs w:val="16"/>
    </w:rPr>
  </w:style>
  <w:style w:type="paragraph" w:styleId="CommentText">
    <w:name w:val="annotation text"/>
    <w:basedOn w:val="Normal"/>
    <w:link w:val="CommentTextChar"/>
    <w:uiPriority w:val="99"/>
    <w:semiHidden/>
    <w:unhideWhenUsed/>
    <w:rsid w:val="00AD4DAE"/>
    <w:pPr>
      <w:spacing w:line="240" w:lineRule="auto"/>
    </w:pPr>
    <w:rPr>
      <w:sz w:val="20"/>
      <w:szCs w:val="20"/>
    </w:rPr>
  </w:style>
  <w:style w:type="character" w:customStyle="1" w:styleId="CommentTextChar">
    <w:name w:val="Comment Text Char"/>
    <w:basedOn w:val="DefaultParagraphFont"/>
    <w:link w:val="CommentText"/>
    <w:uiPriority w:val="99"/>
    <w:semiHidden/>
    <w:rsid w:val="00AD4DAE"/>
    <w:rPr>
      <w:sz w:val="20"/>
      <w:szCs w:val="20"/>
    </w:rPr>
  </w:style>
  <w:style w:type="paragraph" w:styleId="CommentSubject">
    <w:name w:val="annotation subject"/>
    <w:basedOn w:val="CommentText"/>
    <w:next w:val="CommentText"/>
    <w:link w:val="CommentSubjectChar"/>
    <w:uiPriority w:val="99"/>
    <w:semiHidden/>
    <w:unhideWhenUsed/>
    <w:rsid w:val="00AD4DAE"/>
    <w:rPr>
      <w:b/>
      <w:bCs/>
    </w:rPr>
  </w:style>
  <w:style w:type="character" w:customStyle="1" w:styleId="CommentSubjectChar">
    <w:name w:val="Comment Subject Char"/>
    <w:basedOn w:val="CommentTextChar"/>
    <w:link w:val="CommentSubject"/>
    <w:uiPriority w:val="99"/>
    <w:semiHidden/>
    <w:rsid w:val="00AD4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63196">
      <w:bodyDiv w:val="1"/>
      <w:marLeft w:val="0"/>
      <w:marRight w:val="0"/>
      <w:marTop w:val="0"/>
      <w:marBottom w:val="0"/>
      <w:divBdr>
        <w:top w:val="none" w:sz="0" w:space="0" w:color="auto"/>
        <w:left w:val="none" w:sz="0" w:space="0" w:color="auto"/>
        <w:bottom w:val="none" w:sz="0" w:space="0" w:color="auto"/>
        <w:right w:val="none" w:sz="0" w:space="0" w:color="auto"/>
      </w:divBdr>
    </w:div>
    <w:div w:id="732196291">
      <w:bodyDiv w:val="1"/>
      <w:marLeft w:val="0"/>
      <w:marRight w:val="0"/>
      <w:marTop w:val="0"/>
      <w:marBottom w:val="0"/>
      <w:divBdr>
        <w:top w:val="none" w:sz="0" w:space="0" w:color="auto"/>
        <w:left w:val="none" w:sz="0" w:space="0" w:color="auto"/>
        <w:bottom w:val="none" w:sz="0" w:space="0" w:color="auto"/>
        <w:right w:val="none" w:sz="0" w:space="0" w:color="auto"/>
      </w:divBdr>
      <w:divsChild>
        <w:div w:id="50771354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67970178">
      <w:bodyDiv w:val="1"/>
      <w:marLeft w:val="0"/>
      <w:marRight w:val="0"/>
      <w:marTop w:val="0"/>
      <w:marBottom w:val="0"/>
      <w:divBdr>
        <w:top w:val="none" w:sz="0" w:space="0" w:color="auto"/>
        <w:left w:val="none" w:sz="0" w:space="0" w:color="auto"/>
        <w:bottom w:val="none" w:sz="0" w:space="0" w:color="auto"/>
        <w:right w:val="none" w:sz="0" w:space="0" w:color="auto"/>
      </w:divBdr>
    </w:div>
    <w:div w:id="1039817328">
      <w:bodyDiv w:val="1"/>
      <w:marLeft w:val="0"/>
      <w:marRight w:val="0"/>
      <w:marTop w:val="0"/>
      <w:marBottom w:val="0"/>
      <w:divBdr>
        <w:top w:val="none" w:sz="0" w:space="0" w:color="auto"/>
        <w:left w:val="none" w:sz="0" w:space="0" w:color="auto"/>
        <w:bottom w:val="none" w:sz="0" w:space="0" w:color="auto"/>
        <w:right w:val="none" w:sz="0" w:space="0" w:color="auto"/>
      </w:divBdr>
    </w:div>
    <w:div w:id="1121846587">
      <w:bodyDiv w:val="1"/>
      <w:marLeft w:val="0"/>
      <w:marRight w:val="0"/>
      <w:marTop w:val="0"/>
      <w:marBottom w:val="0"/>
      <w:divBdr>
        <w:top w:val="none" w:sz="0" w:space="0" w:color="auto"/>
        <w:left w:val="none" w:sz="0" w:space="0" w:color="auto"/>
        <w:bottom w:val="none" w:sz="0" w:space="0" w:color="auto"/>
        <w:right w:val="none" w:sz="0" w:space="0" w:color="auto"/>
      </w:divBdr>
    </w:div>
    <w:div w:id="1601984194">
      <w:bodyDiv w:val="1"/>
      <w:marLeft w:val="0"/>
      <w:marRight w:val="0"/>
      <w:marTop w:val="0"/>
      <w:marBottom w:val="0"/>
      <w:divBdr>
        <w:top w:val="none" w:sz="0" w:space="0" w:color="auto"/>
        <w:left w:val="none" w:sz="0" w:space="0" w:color="auto"/>
        <w:bottom w:val="none" w:sz="0" w:space="0" w:color="auto"/>
        <w:right w:val="none" w:sz="0" w:space="0" w:color="auto"/>
      </w:divBdr>
      <w:divsChild>
        <w:div w:id="1614943399">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cmha.pe.ca" TargetMode="External"/><Relationship Id="rId5" Type="http://schemas.openxmlformats.org/officeDocument/2006/relationships/hyperlink" Target="mailto:rjgass@gov.p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Gass</dc:creator>
  <cp:keywords/>
  <dc:description/>
  <cp:lastModifiedBy>Rebecca Gass</cp:lastModifiedBy>
  <cp:revision>3</cp:revision>
  <dcterms:created xsi:type="dcterms:W3CDTF">2021-06-22T20:02:00Z</dcterms:created>
  <dcterms:modified xsi:type="dcterms:W3CDTF">2021-06-22T20:34:00Z</dcterms:modified>
</cp:coreProperties>
</file>